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2361"/>
      </w:tblGrid>
      <w:tr w:rsidR="00D83431" w:rsidRPr="00DB621A" w14:paraId="061D7D09" w14:textId="77777777" w:rsidTr="00AD352F">
        <w:tc>
          <w:tcPr>
            <w:tcW w:w="15055" w:type="dxa"/>
            <w:gridSpan w:val="2"/>
          </w:tcPr>
          <w:p w14:paraId="48FC91E9" w14:textId="77777777" w:rsidR="00D83431" w:rsidRPr="00DB621A" w:rsidRDefault="00D83431" w:rsidP="00AD352F">
            <w:pPr>
              <w:suppressAutoHyphens w:val="0"/>
              <w:ind w:left="360"/>
              <w:rPr>
                <w:b/>
                <w:color w:val="000000" w:themeColor="text1"/>
                <w:szCs w:val="28"/>
              </w:rPr>
            </w:pPr>
            <w:r w:rsidRPr="00DB621A">
              <w:rPr>
                <w:b/>
                <w:color w:val="000000" w:themeColor="text1"/>
                <w:szCs w:val="28"/>
              </w:rPr>
              <w:t xml:space="preserve">8. «Поддержка самозанятых» </w:t>
            </w:r>
          </w:p>
          <w:p w14:paraId="1C766C17" w14:textId="77777777" w:rsidR="00D83431" w:rsidRPr="00DB621A" w:rsidRDefault="00D83431" w:rsidP="00AD352F">
            <w:pPr>
              <w:ind w:left="360"/>
              <w:rPr>
                <w:b/>
                <w:color w:val="000000" w:themeColor="text1"/>
                <w:szCs w:val="28"/>
              </w:rPr>
            </w:pPr>
            <w:r w:rsidRPr="00DB621A">
              <w:rPr>
                <w:b/>
                <w:color w:val="000000" w:themeColor="text1"/>
                <w:szCs w:val="28"/>
              </w:rPr>
              <w:t xml:space="preserve">Поручительство для Заемщиков-Самозанятых граждан </w:t>
            </w:r>
          </w:p>
        </w:tc>
      </w:tr>
      <w:tr w:rsidR="00D83431" w:rsidRPr="00DB621A" w14:paraId="73DF4389" w14:textId="77777777" w:rsidTr="00AD352F">
        <w:tc>
          <w:tcPr>
            <w:tcW w:w="2694" w:type="dxa"/>
          </w:tcPr>
          <w:p w14:paraId="34526B1B" w14:textId="77777777" w:rsidR="00D83431" w:rsidRPr="00DB621A" w:rsidRDefault="00D83431" w:rsidP="00AD352F">
            <w:pPr>
              <w:rPr>
                <w:color w:val="000000" w:themeColor="text1"/>
                <w:sz w:val="21"/>
                <w:szCs w:val="21"/>
              </w:rPr>
            </w:pPr>
            <w:r w:rsidRPr="00DB621A">
              <w:rPr>
                <w:b/>
                <w:color w:val="000000" w:themeColor="text1"/>
                <w:sz w:val="21"/>
                <w:szCs w:val="21"/>
              </w:rPr>
              <w:t>1. Назначение Поручительства Фонда</w:t>
            </w:r>
          </w:p>
        </w:tc>
        <w:tc>
          <w:tcPr>
            <w:tcW w:w="12361" w:type="dxa"/>
          </w:tcPr>
          <w:p w14:paraId="58E3C46C" w14:textId="77777777" w:rsidR="00D83431" w:rsidRPr="00DB621A" w:rsidRDefault="00D83431" w:rsidP="00AD352F">
            <w:pPr>
              <w:jc w:val="both"/>
              <w:rPr>
                <w:color w:val="000000" w:themeColor="text1"/>
                <w:sz w:val="21"/>
                <w:szCs w:val="21"/>
              </w:rPr>
            </w:pPr>
            <w:r w:rsidRPr="00DB621A">
              <w:rPr>
                <w:color w:val="000000" w:themeColor="text1"/>
                <w:sz w:val="21"/>
                <w:szCs w:val="21"/>
              </w:rPr>
              <w:t>Обеспечение исполнения части обязательств Заемщиков</w:t>
            </w:r>
            <w:r w:rsidRPr="00DB621A">
              <w:rPr>
                <w:rStyle w:val="a3"/>
                <w:color w:val="000000" w:themeColor="text1"/>
                <w:sz w:val="24"/>
                <w:szCs w:val="24"/>
              </w:rPr>
              <w:footnoteReference w:id="1"/>
            </w:r>
            <w:r w:rsidRPr="00DB621A">
              <w:rPr>
                <w:color w:val="000000" w:themeColor="text1"/>
                <w:sz w:val="24"/>
                <w:szCs w:val="24"/>
              </w:rPr>
              <w:t xml:space="preserve"> </w:t>
            </w:r>
            <w:r w:rsidRPr="00DB621A">
              <w:rPr>
                <w:color w:val="000000" w:themeColor="text1"/>
                <w:sz w:val="21"/>
                <w:szCs w:val="21"/>
              </w:rPr>
              <w:t>по заключаемым Договорам с Финансовыми организациями.</w:t>
            </w:r>
          </w:p>
          <w:p w14:paraId="34F3465E" w14:textId="77777777" w:rsidR="00D83431" w:rsidRPr="00DB621A" w:rsidRDefault="00D83431" w:rsidP="00AD352F">
            <w:pPr>
              <w:jc w:val="both"/>
              <w:rPr>
                <w:color w:val="000000" w:themeColor="text1"/>
                <w:sz w:val="21"/>
                <w:szCs w:val="21"/>
              </w:rPr>
            </w:pPr>
          </w:p>
        </w:tc>
      </w:tr>
      <w:tr w:rsidR="00D83431" w:rsidRPr="00DB621A" w14:paraId="796BD274" w14:textId="77777777" w:rsidTr="00AD352F">
        <w:tc>
          <w:tcPr>
            <w:tcW w:w="2694" w:type="dxa"/>
          </w:tcPr>
          <w:p w14:paraId="572ED23C" w14:textId="77777777" w:rsidR="00D83431" w:rsidRPr="00DB621A" w:rsidRDefault="00D83431" w:rsidP="00AD352F">
            <w:pPr>
              <w:rPr>
                <w:b/>
                <w:color w:val="000000" w:themeColor="text1"/>
                <w:sz w:val="21"/>
                <w:szCs w:val="21"/>
              </w:rPr>
            </w:pPr>
            <w:r w:rsidRPr="00DB621A">
              <w:rPr>
                <w:b/>
                <w:color w:val="000000" w:themeColor="text1"/>
                <w:sz w:val="21"/>
                <w:szCs w:val="21"/>
              </w:rPr>
              <w:t xml:space="preserve">2. Получатели поддержки </w:t>
            </w:r>
          </w:p>
          <w:p w14:paraId="3A441E31" w14:textId="77777777" w:rsidR="00D83431" w:rsidRPr="00DB621A" w:rsidRDefault="00D83431" w:rsidP="00AD352F">
            <w:pPr>
              <w:rPr>
                <w:b/>
                <w:color w:val="000000" w:themeColor="text1"/>
                <w:sz w:val="21"/>
                <w:szCs w:val="21"/>
              </w:rPr>
            </w:pPr>
          </w:p>
        </w:tc>
        <w:tc>
          <w:tcPr>
            <w:tcW w:w="12361" w:type="dxa"/>
          </w:tcPr>
          <w:p w14:paraId="624701D5" w14:textId="77777777" w:rsidR="00D83431" w:rsidRPr="00DB621A" w:rsidRDefault="00D83431" w:rsidP="00AD352F">
            <w:pPr>
              <w:jc w:val="both"/>
              <w:rPr>
                <w:color w:val="000000" w:themeColor="text1"/>
                <w:sz w:val="21"/>
                <w:szCs w:val="21"/>
              </w:rPr>
            </w:pPr>
            <w:r w:rsidRPr="00DB621A">
              <w:rPr>
                <w:color w:val="000000" w:themeColor="text1"/>
                <w:sz w:val="21"/>
                <w:szCs w:val="21"/>
              </w:rPr>
              <w:t>Физические лица, зарегистрированные в статусе Самозанятых граждан в соответствии с Федеральным законом </w:t>
            </w:r>
            <w:hyperlink r:id="rId6" w:tgtFrame="_blank" w:history="1">
              <w:r w:rsidRPr="00DB621A">
                <w:rPr>
                  <w:color w:val="000000" w:themeColor="text1"/>
                  <w:sz w:val="21"/>
                  <w:szCs w:val="21"/>
                </w:rPr>
                <w:t>от 27.11.18 № 422-ФЗ</w:t>
              </w:r>
            </w:hyperlink>
            <w:r w:rsidRPr="00DB621A">
              <w:rPr>
                <w:color w:val="000000" w:themeColor="text1"/>
                <w:sz w:val="21"/>
                <w:szCs w:val="21"/>
              </w:rPr>
              <w:t xml:space="preserve"> и уплачивающие налог на профессиональный доход.</w:t>
            </w:r>
          </w:p>
          <w:p w14:paraId="591E45E2" w14:textId="77777777" w:rsidR="00D83431" w:rsidRPr="00DB621A" w:rsidRDefault="00D83431" w:rsidP="00AD352F">
            <w:pPr>
              <w:jc w:val="both"/>
              <w:rPr>
                <w:color w:val="000000" w:themeColor="text1"/>
                <w:sz w:val="21"/>
                <w:szCs w:val="21"/>
              </w:rPr>
            </w:pPr>
            <w:r w:rsidRPr="00DB621A">
              <w:rPr>
                <w:color w:val="000000" w:themeColor="text1"/>
                <w:sz w:val="21"/>
                <w:szCs w:val="21"/>
              </w:rPr>
              <w:t> </w:t>
            </w:r>
          </w:p>
        </w:tc>
      </w:tr>
      <w:tr w:rsidR="00D83431" w:rsidRPr="00DB621A" w14:paraId="05DD9435" w14:textId="77777777" w:rsidTr="00AD352F">
        <w:trPr>
          <w:trHeight w:val="368"/>
        </w:trPr>
        <w:tc>
          <w:tcPr>
            <w:tcW w:w="2694" w:type="dxa"/>
            <w:tcBorders>
              <w:bottom w:val="single" w:sz="4" w:space="0" w:color="auto"/>
            </w:tcBorders>
          </w:tcPr>
          <w:p w14:paraId="3875A6CD" w14:textId="77777777" w:rsidR="00D83431" w:rsidRPr="00DB621A" w:rsidRDefault="00D83431" w:rsidP="00AD352F">
            <w:pPr>
              <w:rPr>
                <w:b/>
                <w:color w:val="000000" w:themeColor="text1"/>
                <w:sz w:val="21"/>
                <w:szCs w:val="21"/>
              </w:rPr>
            </w:pPr>
            <w:r w:rsidRPr="00DB621A">
              <w:rPr>
                <w:b/>
                <w:color w:val="000000" w:themeColor="text1"/>
                <w:sz w:val="21"/>
                <w:szCs w:val="21"/>
              </w:rPr>
              <w:t>3. Целевое использование</w:t>
            </w:r>
          </w:p>
        </w:tc>
        <w:tc>
          <w:tcPr>
            <w:tcW w:w="12361" w:type="dxa"/>
            <w:tcBorders>
              <w:bottom w:val="single" w:sz="4" w:space="0" w:color="auto"/>
            </w:tcBorders>
          </w:tcPr>
          <w:p w14:paraId="148CC74A" w14:textId="77777777" w:rsidR="00D83431" w:rsidRPr="00DB621A" w:rsidRDefault="00D83431" w:rsidP="00AD352F">
            <w:pPr>
              <w:jc w:val="both"/>
              <w:rPr>
                <w:color w:val="000000" w:themeColor="text1"/>
                <w:sz w:val="21"/>
                <w:szCs w:val="21"/>
              </w:rPr>
            </w:pPr>
            <w:r w:rsidRPr="00DB621A">
              <w:rPr>
                <w:color w:val="000000" w:themeColor="text1"/>
                <w:sz w:val="21"/>
                <w:szCs w:val="21"/>
              </w:rPr>
              <w:t>На развитие предпринимательской деятельности</w:t>
            </w:r>
          </w:p>
          <w:p w14:paraId="77C619ED" w14:textId="77777777" w:rsidR="00D83431" w:rsidRPr="00DB621A" w:rsidRDefault="00D83431" w:rsidP="00AD352F">
            <w:pPr>
              <w:jc w:val="both"/>
              <w:rPr>
                <w:color w:val="000000" w:themeColor="text1"/>
                <w:sz w:val="21"/>
                <w:szCs w:val="21"/>
              </w:rPr>
            </w:pPr>
          </w:p>
        </w:tc>
      </w:tr>
      <w:tr w:rsidR="00D83431" w:rsidRPr="00DB621A" w14:paraId="5B9F8CAC" w14:textId="77777777" w:rsidTr="00AD352F">
        <w:tc>
          <w:tcPr>
            <w:tcW w:w="2694" w:type="dxa"/>
            <w:tcBorders>
              <w:top w:val="single" w:sz="4" w:space="0" w:color="auto"/>
            </w:tcBorders>
          </w:tcPr>
          <w:p w14:paraId="208B7984" w14:textId="77777777" w:rsidR="00D83431" w:rsidRPr="00DB621A" w:rsidRDefault="00D83431" w:rsidP="00AD352F">
            <w:pPr>
              <w:rPr>
                <w:b/>
                <w:color w:val="000000" w:themeColor="text1"/>
                <w:sz w:val="21"/>
                <w:szCs w:val="21"/>
              </w:rPr>
            </w:pPr>
            <w:r w:rsidRPr="00DB621A">
              <w:rPr>
                <w:color w:val="000000" w:themeColor="text1"/>
                <w:sz w:val="21"/>
                <w:szCs w:val="21"/>
              </w:rPr>
              <w:br w:type="page"/>
            </w:r>
            <w:r w:rsidRPr="00DB621A">
              <w:rPr>
                <w:color w:val="000000" w:themeColor="text1"/>
                <w:sz w:val="21"/>
                <w:szCs w:val="21"/>
              </w:rPr>
              <w:br w:type="page"/>
            </w:r>
            <w:r w:rsidRPr="00DB621A">
              <w:rPr>
                <w:b/>
                <w:color w:val="000000" w:themeColor="text1"/>
                <w:sz w:val="21"/>
                <w:szCs w:val="21"/>
              </w:rPr>
              <w:t>4. Форма финансирования</w:t>
            </w:r>
          </w:p>
        </w:tc>
        <w:tc>
          <w:tcPr>
            <w:tcW w:w="12361" w:type="dxa"/>
            <w:tcBorders>
              <w:top w:val="single" w:sz="4" w:space="0" w:color="auto"/>
            </w:tcBorders>
          </w:tcPr>
          <w:p w14:paraId="21C182A3" w14:textId="77777777" w:rsidR="00D83431" w:rsidRPr="00DB621A" w:rsidRDefault="00D83431" w:rsidP="00AD352F">
            <w:pPr>
              <w:jc w:val="both"/>
              <w:rPr>
                <w:color w:val="000000" w:themeColor="text1"/>
                <w:sz w:val="21"/>
                <w:szCs w:val="21"/>
              </w:rPr>
            </w:pPr>
            <w:r w:rsidRPr="00DB621A">
              <w:rPr>
                <w:color w:val="000000" w:themeColor="text1"/>
                <w:sz w:val="20"/>
              </w:rPr>
              <w:t xml:space="preserve">- </w:t>
            </w:r>
            <w:r w:rsidRPr="00DB621A">
              <w:rPr>
                <w:color w:val="000000" w:themeColor="text1"/>
                <w:sz w:val="21"/>
                <w:szCs w:val="21"/>
              </w:rPr>
              <w:t>кредит/кредитная линия;</w:t>
            </w:r>
          </w:p>
          <w:p w14:paraId="17BD7E36" w14:textId="77777777" w:rsidR="00D83431" w:rsidRPr="00DB621A" w:rsidRDefault="00D83431" w:rsidP="00AD352F">
            <w:pPr>
              <w:jc w:val="both"/>
              <w:rPr>
                <w:color w:val="000000" w:themeColor="text1"/>
                <w:sz w:val="20"/>
              </w:rPr>
            </w:pPr>
            <w:r w:rsidRPr="00DB621A">
              <w:rPr>
                <w:color w:val="000000" w:themeColor="text1"/>
                <w:sz w:val="21"/>
                <w:szCs w:val="21"/>
              </w:rPr>
              <w:t>- заем.</w:t>
            </w:r>
          </w:p>
        </w:tc>
      </w:tr>
      <w:tr w:rsidR="00D83431" w:rsidRPr="00DB621A" w14:paraId="65617CBE" w14:textId="77777777" w:rsidTr="00AD352F">
        <w:tc>
          <w:tcPr>
            <w:tcW w:w="2694" w:type="dxa"/>
          </w:tcPr>
          <w:p w14:paraId="12E47F06" w14:textId="77777777" w:rsidR="00D83431" w:rsidRPr="00DB621A" w:rsidRDefault="00D83431" w:rsidP="00AD352F">
            <w:pPr>
              <w:rPr>
                <w:b/>
                <w:color w:val="000000" w:themeColor="text1"/>
                <w:sz w:val="21"/>
                <w:szCs w:val="21"/>
              </w:rPr>
            </w:pPr>
            <w:r w:rsidRPr="00DB621A">
              <w:rPr>
                <w:b/>
                <w:color w:val="000000" w:themeColor="text1"/>
                <w:sz w:val="21"/>
                <w:szCs w:val="21"/>
              </w:rPr>
              <w:t>5. Обеспечение по Договору с Финансовой организацией</w:t>
            </w:r>
          </w:p>
        </w:tc>
        <w:tc>
          <w:tcPr>
            <w:tcW w:w="12361" w:type="dxa"/>
          </w:tcPr>
          <w:p w14:paraId="62E9C92B" w14:textId="77777777" w:rsidR="00D83431" w:rsidRPr="00DB621A" w:rsidRDefault="00D83431" w:rsidP="00AD352F">
            <w:pPr>
              <w:jc w:val="both"/>
              <w:rPr>
                <w:color w:val="000000" w:themeColor="text1"/>
                <w:sz w:val="21"/>
                <w:szCs w:val="21"/>
              </w:rPr>
            </w:pPr>
            <w:r w:rsidRPr="00DB621A">
              <w:rPr>
                <w:color w:val="000000" w:themeColor="text1"/>
                <w:sz w:val="21"/>
                <w:szCs w:val="21"/>
              </w:rPr>
              <w:t xml:space="preserve">-  не менее 30 (Тридцати)% от суммы обязательств Заемщика (без учета залога товарно-материальных ценностей и товаров в обороте), в соответствии с условиями продуктов Финансовых организаций. </w:t>
            </w:r>
          </w:p>
          <w:p w14:paraId="3DD7551B" w14:textId="77777777" w:rsidR="00D83431" w:rsidRPr="00DB621A" w:rsidRDefault="00D83431" w:rsidP="00AD352F">
            <w:pPr>
              <w:jc w:val="both"/>
              <w:rPr>
                <w:color w:val="000000" w:themeColor="text1"/>
                <w:sz w:val="21"/>
                <w:szCs w:val="21"/>
              </w:rPr>
            </w:pPr>
            <w:r w:rsidRPr="00DB621A">
              <w:rPr>
                <w:color w:val="000000" w:themeColor="text1"/>
                <w:sz w:val="21"/>
                <w:szCs w:val="21"/>
              </w:rPr>
              <w:t>Допускается залог прав на интеллектуальную собственность в объеме до 20% от суммы обязательства Заемщика</w:t>
            </w:r>
          </w:p>
          <w:p w14:paraId="08E8C886" w14:textId="77777777" w:rsidR="00D83431" w:rsidRPr="00DB621A" w:rsidRDefault="00D83431" w:rsidP="00AD352F">
            <w:pPr>
              <w:jc w:val="both"/>
              <w:rPr>
                <w:color w:val="000000" w:themeColor="text1"/>
                <w:sz w:val="20"/>
              </w:rPr>
            </w:pPr>
          </w:p>
        </w:tc>
      </w:tr>
      <w:tr w:rsidR="00D83431" w:rsidRPr="00DB621A" w14:paraId="6BC04E72" w14:textId="77777777" w:rsidTr="00AD352F">
        <w:tc>
          <w:tcPr>
            <w:tcW w:w="2694" w:type="dxa"/>
          </w:tcPr>
          <w:p w14:paraId="67FB6A79" w14:textId="77777777" w:rsidR="00D83431" w:rsidRPr="00DB621A" w:rsidRDefault="00D83431" w:rsidP="00AD352F">
            <w:pPr>
              <w:rPr>
                <w:b/>
                <w:color w:val="000000" w:themeColor="text1"/>
                <w:sz w:val="21"/>
                <w:szCs w:val="21"/>
              </w:rPr>
            </w:pPr>
            <w:r w:rsidRPr="00DB621A">
              <w:rPr>
                <w:b/>
                <w:color w:val="000000" w:themeColor="text1"/>
                <w:sz w:val="21"/>
                <w:szCs w:val="21"/>
              </w:rPr>
              <w:t>6. Валюта договора</w:t>
            </w:r>
          </w:p>
        </w:tc>
        <w:tc>
          <w:tcPr>
            <w:tcW w:w="12361" w:type="dxa"/>
          </w:tcPr>
          <w:p w14:paraId="3330A1EA" w14:textId="77777777" w:rsidR="00D83431" w:rsidRPr="00DB621A" w:rsidRDefault="00D83431" w:rsidP="00AD352F">
            <w:pPr>
              <w:jc w:val="both"/>
              <w:rPr>
                <w:color w:val="000000" w:themeColor="text1"/>
                <w:sz w:val="21"/>
                <w:szCs w:val="21"/>
              </w:rPr>
            </w:pPr>
            <w:r w:rsidRPr="00DB621A">
              <w:rPr>
                <w:color w:val="000000" w:themeColor="text1"/>
                <w:sz w:val="21"/>
                <w:szCs w:val="21"/>
              </w:rPr>
              <w:t>Рубль РФ.</w:t>
            </w:r>
          </w:p>
        </w:tc>
      </w:tr>
      <w:tr w:rsidR="00D83431" w:rsidRPr="00DB621A" w14:paraId="6FE0DF71" w14:textId="77777777" w:rsidTr="00AD352F">
        <w:tc>
          <w:tcPr>
            <w:tcW w:w="2694" w:type="dxa"/>
          </w:tcPr>
          <w:p w14:paraId="4B8E4D58" w14:textId="77777777" w:rsidR="00D83431" w:rsidRPr="00DB621A" w:rsidRDefault="00D83431" w:rsidP="00AD352F">
            <w:pPr>
              <w:ind w:right="-108"/>
              <w:rPr>
                <w:b/>
                <w:color w:val="000000" w:themeColor="text1"/>
                <w:sz w:val="21"/>
                <w:szCs w:val="21"/>
              </w:rPr>
            </w:pPr>
            <w:r w:rsidRPr="00DB621A">
              <w:rPr>
                <w:b/>
                <w:color w:val="000000" w:themeColor="text1"/>
                <w:sz w:val="21"/>
                <w:szCs w:val="21"/>
              </w:rPr>
              <w:t xml:space="preserve">7. Срок действия Поручительства </w:t>
            </w:r>
          </w:p>
        </w:tc>
        <w:tc>
          <w:tcPr>
            <w:tcW w:w="12361" w:type="dxa"/>
          </w:tcPr>
          <w:p w14:paraId="2D3A1265" w14:textId="77777777" w:rsidR="00D83431" w:rsidRPr="00DB621A" w:rsidRDefault="00D83431" w:rsidP="00AD352F">
            <w:pPr>
              <w:jc w:val="both"/>
              <w:rPr>
                <w:color w:val="000000" w:themeColor="text1"/>
                <w:sz w:val="21"/>
                <w:szCs w:val="21"/>
              </w:rPr>
            </w:pPr>
            <w:r w:rsidRPr="00DB621A">
              <w:rPr>
                <w:color w:val="000000" w:themeColor="text1"/>
                <w:sz w:val="21"/>
                <w:szCs w:val="21"/>
              </w:rPr>
              <w:t>До 5(Пяти) лет;</w:t>
            </w:r>
          </w:p>
          <w:p w14:paraId="27E075F9" w14:textId="77777777" w:rsidR="00D83431" w:rsidRPr="00DB621A" w:rsidRDefault="00D83431" w:rsidP="00AD352F">
            <w:pPr>
              <w:jc w:val="both"/>
              <w:rPr>
                <w:color w:val="000000" w:themeColor="text1"/>
                <w:sz w:val="21"/>
                <w:szCs w:val="21"/>
              </w:rPr>
            </w:pPr>
            <w:r w:rsidRPr="00DB621A">
              <w:rPr>
                <w:color w:val="000000" w:themeColor="text1"/>
                <w:sz w:val="21"/>
                <w:szCs w:val="21"/>
              </w:rPr>
              <w:t>Срок поручительства определяется Финансовой организацией в заявке на Поручительство и может быть увеличен на срок не более плюс 120 календарных дней считая от даты, указанной в договоре, заключенном между Заемщиком и Финансовой организацией, как окончательная дата исполнения Заемщиком своих обязательств.</w:t>
            </w:r>
          </w:p>
          <w:p w14:paraId="691A9DA8" w14:textId="77777777" w:rsidR="00D83431" w:rsidRPr="00DB621A" w:rsidRDefault="00D83431" w:rsidP="00AD352F">
            <w:pPr>
              <w:suppressAutoHyphens w:val="0"/>
              <w:jc w:val="both"/>
              <w:rPr>
                <w:color w:val="000000" w:themeColor="text1"/>
                <w:sz w:val="21"/>
                <w:szCs w:val="21"/>
              </w:rPr>
            </w:pPr>
            <w:r w:rsidRPr="00DB621A">
              <w:rPr>
                <w:color w:val="000000" w:themeColor="text1"/>
                <w:sz w:val="21"/>
                <w:szCs w:val="21"/>
              </w:rPr>
              <w:t xml:space="preserve">По договорам, заключаемым с некоммерческой </w:t>
            </w:r>
            <w:proofErr w:type="spellStart"/>
            <w:r w:rsidRPr="00DB621A">
              <w:rPr>
                <w:color w:val="000000" w:themeColor="text1"/>
                <w:sz w:val="21"/>
                <w:szCs w:val="21"/>
              </w:rPr>
              <w:t>микрокредитной</w:t>
            </w:r>
            <w:proofErr w:type="spellEnd"/>
            <w:r w:rsidRPr="00DB621A">
              <w:rPr>
                <w:color w:val="000000" w:themeColor="text1"/>
                <w:sz w:val="21"/>
                <w:szCs w:val="21"/>
              </w:rPr>
              <w:t xml:space="preserve"> компанией «Алтайский фонд финансирования предпринимательства», срок действия Поручительства определяется в заявке на Поручительство и исчисляется от даты заключения договора Поручительства, при этом срок действия Поручительства может быть увеличен на срок не более плюс 120 календарных дней.  </w:t>
            </w:r>
          </w:p>
          <w:p w14:paraId="3D1F2BD2" w14:textId="77777777" w:rsidR="00D83431" w:rsidRPr="00DB621A" w:rsidRDefault="00D83431" w:rsidP="00AD352F">
            <w:pPr>
              <w:jc w:val="both"/>
              <w:rPr>
                <w:color w:val="000000" w:themeColor="text1"/>
                <w:sz w:val="21"/>
                <w:szCs w:val="21"/>
              </w:rPr>
            </w:pPr>
          </w:p>
        </w:tc>
      </w:tr>
      <w:tr w:rsidR="00D83431" w:rsidRPr="00DB621A" w14:paraId="01D28923" w14:textId="77777777" w:rsidTr="00AD352F">
        <w:tc>
          <w:tcPr>
            <w:tcW w:w="2694" w:type="dxa"/>
          </w:tcPr>
          <w:p w14:paraId="20E8EF2F" w14:textId="77777777" w:rsidR="00D83431" w:rsidRPr="00DB621A" w:rsidRDefault="00D83431" w:rsidP="00AD352F">
            <w:pPr>
              <w:rPr>
                <w:b/>
                <w:color w:val="000000" w:themeColor="text1"/>
                <w:sz w:val="21"/>
                <w:szCs w:val="21"/>
              </w:rPr>
            </w:pPr>
            <w:r w:rsidRPr="00DB621A">
              <w:rPr>
                <w:b/>
                <w:color w:val="000000" w:themeColor="text1"/>
                <w:sz w:val="21"/>
                <w:szCs w:val="21"/>
              </w:rPr>
              <w:t>8. Дата начала действия Поручительства</w:t>
            </w:r>
          </w:p>
        </w:tc>
        <w:tc>
          <w:tcPr>
            <w:tcW w:w="12361" w:type="dxa"/>
          </w:tcPr>
          <w:p w14:paraId="232C9EBD" w14:textId="77777777" w:rsidR="00D83431" w:rsidRPr="00DB621A" w:rsidRDefault="00D83431" w:rsidP="00AD352F">
            <w:pPr>
              <w:jc w:val="both"/>
              <w:rPr>
                <w:color w:val="000000" w:themeColor="text1"/>
                <w:sz w:val="21"/>
                <w:szCs w:val="21"/>
              </w:rPr>
            </w:pPr>
            <w:r w:rsidRPr="00DB621A">
              <w:rPr>
                <w:color w:val="000000" w:themeColor="text1"/>
                <w:sz w:val="21"/>
                <w:szCs w:val="21"/>
              </w:rPr>
              <w:t>С даты заключения Договора поручительства, либо даты, указанной в Договоре поручительства как начало действия Договора поручительства, при условии оплаты вознаграждения Фонду.</w:t>
            </w:r>
          </w:p>
        </w:tc>
      </w:tr>
      <w:tr w:rsidR="00D83431" w:rsidRPr="00DB621A" w14:paraId="2D185C66" w14:textId="77777777" w:rsidTr="00AD352F">
        <w:tc>
          <w:tcPr>
            <w:tcW w:w="2694" w:type="dxa"/>
          </w:tcPr>
          <w:p w14:paraId="04E3BA57" w14:textId="77777777" w:rsidR="00D83431" w:rsidRPr="00DB621A" w:rsidRDefault="00D83431" w:rsidP="00AD352F">
            <w:pPr>
              <w:rPr>
                <w:b/>
                <w:color w:val="000000" w:themeColor="text1"/>
                <w:sz w:val="21"/>
                <w:szCs w:val="21"/>
              </w:rPr>
            </w:pPr>
            <w:r w:rsidRPr="00DB621A">
              <w:rPr>
                <w:b/>
                <w:color w:val="000000" w:themeColor="text1"/>
                <w:sz w:val="21"/>
                <w:szCs w:val="21"/>
              </w:rPr>
              <w:t>9. Лимит суммы Поручительства</w:t>
            </w:r>
          </w:p>
        </w:tc>
        <w:tc>
          <w:tcPr>
            <w:tcW w:w="12361" w:type="dxa"/>
          </w:tcPr>
          <w:p w14:paraId="2F705F0B" w14:textId="77777777" w:rsidR="00D83431" w:rsidRPr="00DB621A" w:rsidRDefault="00D83431" w:rsidP="00AD352F">
            <w:pPr>
              <w:jc w:val="both"/>
              <w:rPr>
                <w:color w:val="000000" w:themeColor="text1"/>
                <w:sz w:val="21"/>
                <w:szCs w:val="21"/>
              </w:rPr>
            </w:pPr>
            <w:r w:rsidRPr="00DB621A">
              <w:rPr>
                <w:color w:val="000000" w:themeColor="text1"/>
                <w:sz w:val="21"/>
                <w:szCs w:val="21"/>
              </w:rPr>
              <w:t>Максимальный размер Поручительства: 500 000 (Пятьсот тысяч) рублей.</w:t>
            </w:r>
          </w:p>
          <w:p w14:paraId="04FB05C0" w14:textId="77777777" w:rsidR="00D83431" w:rsidRPr="00DB621A" w:rsidRDefault="00D83431" w:rsidP="00AD352F">
            <w:pPr>
              <w:jc w:val="both"/>
              <w:rPr>
                <w:color w:val="000000" w:themeColor="text1"/>
                <w:sz w:val="21"/>
                <w:szCs w:val="21"/>
              </w:rPr>
            </w:pPr>
            <w:r w:rsidRPr="00DB621A">
              <w:rPr>
                <w:color w:val="000000" w:themeColor="text1"/>
                <w:sz w:val="21"/>
                <w:szCs w:val="21"/>
              </w:rPr>
              <w:t>До 50 (Пятидесяти) % от суммы обязательства по Договору с Финансовой организацией</w:t>
            </w:r>
          </w:p>
        </w:tc>
      </w:tr>
      <w:tr w:rsidR="00D83431" w:rsidRPr="00DB621A" w14:paraId="52A24108" w14:textId="77777777" w:rsidTr="00AD352F">
        <w:tblPrEx>
          <w:tblLook w:val="0000" w:firstRow="0" w:lastRow="0" w:firstColumn="0" w:lastColumn="0" w:noHBand="0" w:noVBand="0"/>
        </w:tblPrEx>
        <w:trPr>
          <w:trHeight w:val="710"/>
        </w:trPr>
        <w:tc>
          <w:tcPr>
            <w:tcW w:w="2694" w:type="dxa"/>
          </w:tcPr>
          <w:p w14:paraId="1A9D7562" w14:textId="77777777" w:rsidR="00D83431" w:rsidRPr="00DB621A" w:rsidRDefault="00D83431" w:rsidP="00AD352F">
            <w:pPr>
              <w:rPr>
                <w:color w:val="000000" w:themeColor="text1"/>
                <w:sz w:val="21"/>
                <w:szCs w:val="21"/>
              </w:rPr>
            </w:pPr>
            <w:r w:rsidRPr="00DB621A">
              <w:rPr>
                <w:b/>
                <w:color w:val="000000" w:themeColor="text1"/>
                <w:sz w:val="21"/>
                <w:szCs w:val="21"/>
              </w:rPr>
              <w:t>10. Вознаграждение за Поручительство</w:t>
            </w:r>
          </w:p>
        </w:tc>
        <w:tc>
          <w:tcPr>
            <w:tcW w:w="12361" w:type="dxa"/>
          </w:tcPr>
          <w:p w14:paraId="25ACF4E7" w14:textId="77777777" w:rsidR="00D83431" w:rsidRPr="00DB621A" w:rsidRDefault="00D83431" w:rsidP="00AD352F">
            <w:pPr>
              <w:jc w:val="both"/>
              <w:rPr>
                <w:color w:val="000000" w:themeColor="text1"/>
                <w:sz w:val="21"/>
                <w:szCs w:val="21"/>
              </w:rPr>
            </w:pPr>
            <w:r w:rsidRPr="00DB621A">
              <w:rPr>
                <w:color w:val="000000" w:themeColor="text1"/>
                <w:sz w:val="21"/>
                <w:szCs w:val="21"/>
              </w:rPr>
              <w:t>0,5 % годовых от суммы Поручительства, за фактический срок пользования (в днях).</w:t>
            </w:r>
          </w:p>
          <w:p w14:paraId="773BF7E7" w14:textId="77777777" w:rsidR="00D83431" w:rsidRPr="00DB621A" w:rsidRDefault="00D83431" w:rsidP="00AD352F">
            <w:pPr>
              <w:jc w:val="both"/>
              <w:rPr>
                <w:color w:val="000000" w:themeColor="text1"/>
                <w:sz w:val="21"/>
                <w:szCs w:val="21"/>
              </w:rPr>
            </w:pPr>
          </w:p>
        </w:tc>
      </w:tr>
      <w:tr w:rsidR="00D83431" w:rsidRPr="00DB621A" w14:paraId="0452ACF7" w14:textId="77777777" w:rsidTr="00AD352F">
        <w:tblPrEx>
          <w:tblLook w:val="0000" w:firstRow="0" w:lastRow="0" w:firstColumn="0" w:lastColumn="0" w:noHBand="0" w:noVBand="0"/>
        </w:tblPrEx>
        <w:trPr>
          <w:trHeight w:val="405"/>
        </w:trPr>
        <w:tc>
          <w:tcPr>
            <w:tcW w:w="2694" w:type="dxa"/>
          </w:tcPr>
          <w:p w14:paraId="35A5A58D" w14:textId="77777777" w:rsidR="00D83431" w:rsidRPr="00DB621A" w:rsidRDefault="00D83431" w:rsidP="00AD352F">
            <w:pPr>
              <w:rPr>
                <w:b/>
                <w:color w:val="000000" w:themeColor="text1"/>
                <w:sz w:val="21"/>
                <w:szCs w:val="21"/>
              </w:rPr>
            </w:pPr>
            <w:r w:rsidRPr="00DB621A">
              <w:rPr>
                <w:b/>
                <w:color w:val="000000" w:themeColor="text1"/>
                <w:sz w:val="21"/>
                <w:szCs w:val="21"/>
              </w:rPr>
              <w:t>11. Порядок уплаты вознаграждения</w:t>
            </w:r>
          </w:p>
        </w:tc>
        <w:tc>
          <w:tcPr>
            <w:tcW w:w="12361" w:type="dxa"/>
          </w:tcPr>
          <w:p w14:paraId="2ECCDD4D" w14:textId="77777777" w:rsidR="00D83431" w:rsidRPr="00DB621A" w:rsidRDefault="00D83431" w:rsidP="00AD352F">
            <w:pPr>
              <w:jc w:val="both"/>
              <w:rPr>
                <w:color w:val="000000" w:themeColor="text1"/>
                <w:sz w:val="21"/>
                <w:szCs w:val="21"/>
              </w:rPr>
            </w:pPr>
            <w:r w:rsidRPr="00DB621A">
              <w:rPr>
                <w:color w:val="000000" w:themeColor="text1"/>
                <w:sz w:val="21"/>
                <w:szCs w:val="21"/>
              </w:rPr>
              <w:t>Единовременно, в срок не позднее 3 (Трех) рабочих дней с момента заключения Договора поручительства путем перечисления денежных средств на расчетный счет Фонда</w:t>
            </w:r>
          </w:p>
        </w:tc>
      </w:tr>
      <w:tr w:rsidR="00D83431" w:rsidRPr="00DB621A" w14:paraId="7A9FA31E" w14:textId="77777777" w:rsidTr="00AD352F">
        <w:tblPrEx>
          <w:tblLook w:val="0000" w:firstRow="0" w:lastRow="0" w:firstColumn="0" w:lastColumn="0" w:noHBand="0" w:noVBand="0"/>
        </w:tblPrEx>
        <w:trPr>
          <w:trHeight w:val="228"/>
        </w:trPr>
        <w:tc>
          <w:tcPr>
            <w:tcW w:w="2694" w:type="dxa"/>
          </w:tcPr>
          <w:p w14:paraId="72C238F9" w14:textId="77777777" w:rsidR="00D83431" w:rsidRPr="00DB621A" w:rsidRDefault="00D83431" w:rsidP="00AD352F">
            <w:pPr>
              <w:rPr>
                <w:b/>
                <w:color w:val="000000" w:themeColor="text1"/>
                <w:sz w:val="21"/>
                <w:szCs w:val="21"/>
              </w:rPr>
            </w:pPr>
            <w:r w:rsidRPr="00DB621A">
              <w:rPr>
                <w:b/>
                <w:color w:val="000000" w:themeColor="text1"/>
                <w:sz w:val="21"/>
                <w:szCs w:val="21"/>
              </w:rPr>
              <w:t>12. Требования к Заемщику</w:t>
            </w:r>
          </w:p>
        </w:tc>
        <w:tc>
          <w:tcPr>
            <w:tcW w:w="12361" w:type="dxa"/>
          </w:tcPr>
          <w:p w14:paraId="20109FF8" w14:textId="77777777" w:rsidR="00D83431" w:rsidRPr="00DB621A" w:rsidRDefault="00D83431" w:rsidP="00AD352F">
            <w:pPr>
              <w:jc w:val="both"/>
              <w:rPr>
                <w:color w:val="000000" w:themeColor="text1"/>
                <w:sz w:val="21"/>
                <w:szCs w:val="21"/>
              </w:rPr>
            </w:pPr>
            <w:r w:rsidRPr="00DB621A">
              <w:rPr>
                <w:color w:val="000000" w:themeColor="text1"/>
                <w:sz w:val="21"/>
                <w:szCs w:val="21"/>
              </w:rPr>
              <w:t>Основные требования к Заемщику для предоставления Поручительства установлены разделом 2 настоящего Регламента.</w:t>
            </w:r>
          </w:p>
          <w:p w14:paraId="38D5BC25" w14:textId="77777777" w:rsidR="00D83431" w:rsidRPr="00DB621A" w:rsidRDefault="00D83431" w:rsidP="00AD352F">
            <w:pPr>
              <w:jc w:val="both"/>
              <w:rPr>
                <w:color w:val="000000" w:themeColor="text1"/>
                <w:sz w:val="21"/>
                <w:szCs w:val="21"/>
              </w:rPr>
            </w:pPr>
          </w:p>
        </w:tc>
      </w:tr>
      <w:tr w:rsidR="00D83431" w:rsidRPr="00DB621A" w14:paraId="0CCF9B8F" w14:textId="77777777" w:rsidTr="00AD352F">
        <w:tblPrEx>
          <w:tblLook w:val="0000" w:firstRow="0" w:lastRow="0" w:firstColumn="0" w:lastColumn="0" w:noHBand="0" w:noVBand="0"/>
        </w:tblPrEx>
        <w:trPr>
          <w:trHeight w:val="375"/>
        </w:trPr>
        <w:tc>
          <w:tcPr>
            <w:tcW w:w="2694" w:type="dxa"/>
          </w:tcPr>
          <w:p w14:paraId="5941A145" w14:textId="77777777" w:rsidR="00D83431" w:rsidRPr="00DB621A" w:rsidRDefault="00D83431" w:rsidP="00AD352F">
            <w:pPr>
              <w:rPr>
                <w:b/>
                <w:color w:val="000000" w:themeColor="text1"/>
                <w:sz w:val="21"/>
                <w:szCs w:val="21"/>
              </w:rPr>
            </w:pPr>
            <w:r w:rsidRPr="00DB621A">
              <w:rPr>
                <w:b/>
                <w:color w:val="000000" w:themeColor="text1"/>
                <w:sz w:val="21"/>
                <w:szCs w:val="21"/>
              </w:rPr>
              <w:t>13. Требования к Финансовой организации</w:t>
            </w:r>
          </w:p>
        </w:tc>
        <w:tc>
          <w:tcPr>
            <w:tcW w:w="12361" w:type="dxa"/>
          </w:tcPr>
          <w:p w14:paraId="45D4B925" w14:textId="77777777" w:rsidR="00D83431" w:rsidRPr="00DB621A" w:rsidRDefault="00D83431" w:rsidP="00AD352F">
            <w:pPr>
              <w:jc w:val="both"/>
              <w:rPr>
                <w:color w:val="000000" w:themeColor="text1"/>
                <w:sz w:val="21"/>
                <w:szCs w:val="21"/>
              </w:rPr>
            </w:pPr>
            <w:r w:rsidRPr="00DB621A">
              <w:rPr>
                <w:color w:val="000000" w:themeColor="text1"/>
                <w:sz w:val="21"/>
                <w:szCs w:val="21"/>
              </w:rPr>
              <w:t>Действующее Соглашение о сотрудничестве с Фондом.</w:t>
            </w:r>
          </w:p>
        </w:tc>
      </w:tr>
      <w:tr w:rsidR="00D83431" w:rsidRPr="00DB621A" w14:paraId="082CD275" w14:textId="77777777" w:rsidTr="00AD352F">
        <w:tblPrEx>
          <w:tblLook w:val="0000" w:firstRow="0" w:lastRow="0" w:firstColumn="0" w:lastColumn="0" w:noHBand="0" w:noVBand="0"/>
        </w:tblPrEx>
        <w:trPr>
          <w:trHeight w:val="591"/>
        </w:trPr>
        <w:tc>
          <w:tcPr>
            <w:tcW w:w="2694" w:type="dxa"/>
          </w:tcPr>
          <w:p w14:paraId="138F6BA2" w14:textId="77777777" w:rsidR="00D83431" w:rsidRPr="00DB621A" w:rsidRDefault="00D83431" w:rsidP="00AD352F">
            <w:pPr>
              <w:rPr>
                <w:b/>
                <w:color w:val="000000" w:themeColor="text1"/>
                <w:sz w:val="21"/>
                <w:szCs w:val="21"/>
              </w:rPr>
            </w:pPr>
            <w:r w:rsidRPr="00DB621A">
              <w:rPr>
                <w:b/>
                <w:color w:val="000000" w:themeColor="text1"/>
                <w:sz w:val="21"/>
                <w:szCs w:val="21"/>
              </w:rPr>
              <w:t>14. Дополнительные требования (рекомендации)</w:t>
            </w:r>
          </w:p>
        </w:tc>
        <w:tc>
          <w:tcPr>
            <w:tcW w:w="12361" w:type="dxa"/>
          </w:tcPr>
          <w:p w14:paraId="0020DF8D" w14:textId="77777777" w:rsidR="00D83431" w:rsidRPr="00DB621A" w:rsidRDefault="00D83431" w:rsidP="00AD352F">
            <w:pPr>
              <w:jc w:val="both"/>
              <w:rPr>
                <w:color w:val="000000" w:themeColor="text1"/>
                <w:sz w:val="21"/>
                <w:szCs w:val="21"/>
              </w:rPr>
            </w:pPr>
            <w:r w:rsidRPr="00DB621A">
              <w:rPr>
                <w:color w:val="000000" w:themeColor="text1"/>
                <w:sz w:val="21"/>
                <w:szCs w:val="21"/>
              </w:rPr>
              <w:t>По решению Совета Фонда/Экспертного совета Фонда.</w:t>
            </w:r>
          </w:p>
        </w:tc>
      </w:tr>
    </w:tbl>
    <w:p w14:paraId="3BACB6B6" w14:textId="77777777" w:rsidR="00056CC3" w:rsidRDefault="00056CC3" w:rsidP="00D83431"/>
    <w:sectPr w:rsidR="00056CC3" w:rsidSect="00D83431">
      <w:pgSz w:w="16838" w:h="11906" w:orient="landscape"/>
      <w:pgMar w:top="426" w:right="1134" w:bottom="568"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5A599" w14:textId="77777777" w:rsidR="00C6127D" w:rsidRDefault="00C6127D" w:rsidP="00A70F97">
      <w:r>
        <w:separator/>
      </w:r>
    </w:p>
  </w:endnote>
  <w:endnote w:type="continuationSeparator" w:id="0">
    <w:p w14:paraId="038BA30E" w14:textId="77777777" w:rsidR="00C6127D" w:rsidRDefault="00C6127D" w:rsidP="00A7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5B328" w14:textId="77777777" w:rsidR="00C6127D" w:rsidRDefault="00C6127D" w:rsidP="00A70F97">
      <w:r>
        <w:separator/>
      </w:r>
    </w:p>
  </w:footnote>
  <w:footnote w:type="continuationSeparator" w:id="0">
    <w:p w14:paraId="38884516" w14:textId="77777777" w:rsidR="00C6127D" w:rsidRDefault="00C6127D" w:rsidP="00A70F97">
      <w:r>
        <w:continuationSeparator/>
      </w:r>
    </w:p>
  </w:footnote>
  <w:footnote w:id="1">
    <w:p w14:paraId="3A9288C1" w14:textId="77777777" w:rsidR="00D83431" w:rsidRDefault="00D83431" w:rsidP="00D83431">
      <w:pPr>
        <w:pStyle w:val="a4"/>
      </w:pPr>
      <w:r>
        <w:rPr>
          <w:rStyle w:val="a3"/>
        </w:rPr>
        <w:footnoteRef/>
      </w:r>
      <w:r>
        <w:t xml:space="preserve"> Здесь и далее в гарантийной программе «Поддержка самозанятых» - кроме категории СМСП, Организация инфраструктуры поддержки СМСП</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465"/>
    <w:rsid w:val="00056CC3"/>
    <w:rsid w:val="00336159"/>
    <w:rsid w:val="00343366"/>
    <w:rsid w:val="00A70F97"/>
    <w:rsid w:val="00C6127D"/>
    <w:rsid w:val="00D83431"/>
    <w:rsid w:val="00E91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833A0"/>
  <w15:chartTrackingRefBased/>
  <w15:docId w15:val="{BF0C54C2-EDA3-4AE6-B2CD-D97841CE3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F97"/>
    <w:pPr>
      <w:suppressAutoHyphens/>
      <w:spacing w:after="0" w:line="240" w:lineRule="auto"/>
    </w:pPr>
    <w:rPr>
      <w:rFonts w:ascii="Times New Roman" w:eastAsia="Times New Roman" w:hAnsi="Times New Roman" w:cs="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qFormat/>
    <w:rsid w:val="00A70F97"/>
    <w:rPr>
      <w:vertAlign w:val="superscript"/>
    </w:rPr>
  </w:style>
  <w:style w:type="paragraph" w:styleId="a4">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
    <w:basedOn w:val="a"/>
    <w:link w:val="a5"/>
    <w:uiPriority w:val="99"/>
    <w:rsid w:val="00A70F97"/>
    <w:rPr>
      <w:sz w:val="20"/>
    </w:rPr>
  </w:style>
  <w:style w:type="character" w:customStyle="1" w:styleId="a5">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4"/>
    <w:uiPriority w:val="99"/>
    <w:rsid w:val="00A70F97"/>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mativ.kontur.ru/document?moduleId=1&amp;documentId=351848&amp;utm_source=buhonline&amp;utm_medium=banner&amp;utm_campaign=normativ-link-normativ-buhonline&amp;utm_content=tag-samozanyatye&amp;utm_term=pub15528&amp;promocode=0957"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2490</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magel.n</dc:creator>
  <cp:keywords/>
  <dc:description/>
  <cp:lastModifiedBy>AbiMngr</cp:lastModifiedBy>
  <cp:revision>2</cp:revision>
  <dcterms:created xsi:type="dcterms:W3CDTF">2022-03-09T02:56:00Z</dcterms:created>
  <dcterms:modified xsi:type="dcterms:W3CDTF">2022-03-09T02:56:00Z</dcterms:modified>
</cp:coreProperties>
</file>